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E099" w14:textId="082D399D" w:rsidR="00BF7DB2" w:rsidRPr="0013711F" w:rsidRDefault="00BF7DB2" w:rsidP="0013711F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Προς μαθητές/</w:t>
      </w:r>
      <w:r w:rsidR="008438B2">
        <w:rPr>
          <w:rFonts w:ascii="Arial" w:hAnsi="Arial" w:cs="Arial"/>
          <w:b/>
          <w:sz w:val="24"/>
          <w:szCs w:val="24"/>
          <w:lang w:val="el-GR"/>
        </w:rPr>
        <w:t>μαθή</w:t>
      </w:r>
      <w:r>
        <w:rPr>
          <w:rFonts w:ascii="Arial" w:hAnsi="Arial" w:cs="Arial"/>
          <w:b/>
          <w:sz w:val="24"/>
          <w:szCs w:val="24"/>
          <w:lang w:val="el-GR"/>
        </w:rPr>
        <w:t>τριες Δημοσίων Σχολείων Μέσης Εκπαίδευσης και Ιδιωτικών Σχολείων Ιδίου Τύπου</w:t>
      </w:r>
      <w:r w:rsidR="008845D1">
        <w:rPr>
          <w:rFonts w:ascii="Arial" w:hAnsi="Arial" w:cs="Arial"/>
          <w:b/>
          <w:sz w:val="24"/>
          <w:szCs w:val="24"/>
          <w:lang w:val="el-GR"/>
        </w:rPr>
        <w:t xml:space="preserve"> και κάθε/κάθε μία ενδιαφερόμενο/νη </w:t>
      </w:r>
    </w:p>
    <w:p w14:paraId="33C8BA3D" w14:textId="77777777" w:rsidR="00E92985" w:rsidRDefault="00E92985" w:rsidP="00BF7DB2">
      <w:pPr>
        <w:rPr>
          <w:rFonts w:ascii="Arial" w:hAnsi="Arial" w:cs="Arial"/>
          <w:b/>
          <w:sz w:val="24"/>
          <w:szCs w:val="24"/>
          <w:lang w:val="el-GR"/>
        </w:rPr>
      </w:pPr>
    </w:p>
    <w:p w14:paraId="32284CFB" w14:textId="369D90E6" w:rsidR="00E92985" w:rsidRPr="00E92985" w:rsidRDefault="000C3FBE" w:rsidP="00E92985">
      <w:pPr>
        <w:rPr>
          <w:rFonts w:ascii="Arial" w:hAnsi="Arial" w:cs="Arial"/>
          <w:b/>
          <w:sz w:val="24"/>
          <w:szCs w:val="24"/>
          <w:lang w:val="el-GR"/>
        </w:rPr>
      </w:pPr>
      <w:r w:rsidRPr="0013711F">
        <w:rPr>
          <w:rFonts w:ascii="Arial" w:hAnsi="Arial" w:cs="Arial"/>
          <w:b/>
          <w:sz w:val="24"/>
          <w:szCs w:val="24"/>
          <w:lang w:val="el-GR"/>
        </w:rPr>
        <w:t>Σας ενημερώνουμε για το ακόλουθο</w:t>
      </w:r>
      <w:r w:rsidR="00BF7DB2" w:rsidRPr="0013711F">
        <w:rPr>
          <w:rFonts w:ascii="Arial" w:hAnsi="Arial" w:cs="Arial"/>
          <w:b/>
          <w:sz w:val="24"/>
          <w:szCs w:val="24"/>
          <w:lang w:val="el-GR"/>
        </w:rPr>
        <w:t>:</w:t>
      </w:r>
    </w:p>
    <w:p w14:paraId="5B30D9D2" w14:textId="06FCFAA5" w:rsidR="00E92985" w:rsidRPr="00E92985" w:rsidRDefault="00E92985" w:rsidP="00E92985">
      <w:pPr>
        <w:spacing w:after="0" w:line="276" w:lineRule="auto"/>
        <w:jc w:val="both"/>
        <w:rPr>
          <w:rFonts w:asciiTheme="minorBidi" w:hAnsiTheme="minorBidi"/>
          <w:b/>
          <w:sz w:val="28"/>
          <w:szCs w:val="28"/>
          <w:lang w:val="el-GR"/>
        </w:rPr>
      </w:pPr>
      <w:r w:rsidRPr="00E92985">
        <w:rPr>
          <w:rFonts w:asciiTheme="minorBidi" w:hAnsiTheme="minorBidi"/>
          <w:b/>
          <w:sz w:val="28"/>
          <w:szCs w:val="28"/>
          <w:lang w:val="el-GR"/>
        </w:rPr>
        <w:t>Πρόσβαση στην Τριτοβάθμια Εκπαίδευση Κύπρου και Ελλάδας – Παγκύπριες Εξετάσεις:</w:t>
      </w:r>
    </w:p>
    <w:p w14:paraId="7C212208" w14:textId="77777777" w:rsidR="00E92985" w:rsidRPr="00E92985" w:rsidRDefault="00E92985" w:rsidP="00E92985">
      <w:pPr>
        <w:spacing w:after="0" w:line="276" w:lineRule="auto"/>
        <w:jc w:val="both"/>
        <w:rPr>
          <w:rFonts w:asciiTheme="minorBidi" w:hAnsiTheme="minorBidi"/>
          <w:b/>
          <w:sz w:val="24"/>
          <w:szCs w:val="24"/>
          <w:u w:val="single"/>
          <w:lang w:val="el-GR"/>
        </w:rPr>
      </w:pPr>
      <w:r w:rsidRPr="00E92985">
        <w:rPr>
          <w:rFonts w:asciiTheme="minorBidi" w:hAnsiTheme="minorBidi"/>
          <w:b/>
          <w:sz w:val="24"/>
          <w:szCs w:val="24"/>
          <w:u w:val="single"/>
          <w:lang w:val="el-GR"/>
        </w:rPr>
        <w:t>Εσπερίδες:</w:t>
      </w:r>
    </w:p>
    <w:p w14:paraId="267FC780" w14:textId="17B50620" w:rsidR="00E92985" w:rsidRDefault="00E92985" w:rsidP="00E92985">
      <w:pPr>
        <w:spacing w:line="276" w:lineRule="auto"/>
        <w:jc w:val="both"/>
        <w:rPr>
          <w:rFonts w:asciiTheme="minorBidi" w:hAnsiTheme="minorBidi"/>
          <w:bCs/>
          <w:sz w:val="24"/>
          <w:szCs w:val="24"/>
          <w:lang w:val="el-GR"/>
        </w:rPr>
      </w:pPr>
      <w:r>
        <w:rPr>
          <w:rFonts w:asciiTheme="minorBidi" w:hAnsiTheme="minorBidi"/>
          <w:bCs/>
          <w:sz w:val="24"/>
          <w:szCs w:val="24"/>
          <w:lang w:val="el-GR"/>
        </w:rPr>
        <w:t xml:space="preserve">Η Υπηρεσία Συμβουλευτικής και Επαγγελματικής Αγωγής (ΥΣΕΑ) της Διεύθυνσης Μέσης Γενικής Εκπαίδευσης- ΥΠΑΝ σε συνεργασία με </w:t>
      </w:r>
      <w:r>
        <w:rPr>
          <w:rFonts w:asciiTheme="minorBidi" w:hAnsiTheme="minorBidi"/>
          <w:bCs/>
          <w:sz w:val="24"/>
          <w:szCs w:val="24"/>
          <w:lang w:val="el-GR"/>
        </w:rPr>
        <w:t xml:space="preserve">την Παγκύπρια Ομοσπονδία Συνομοσπονδιών Γονέων Δημοσίων Σχολείων Μέσης Εκπαίδευσης, </w:t>
      </w:r>
      <w:r>
        <w:rPr>
          <w:rFonts w:asciiTheme="minorBidi" w:hAnsiTheme="minorBidi"/>
          <w:bCs/>
          <w:sz w:val="24"/>
          <w:szCs w:val="24"/>
          <w:lang w:val="el-GR"/>
        </w:rPr>
        <w:t xml:space="preserve">οργανώνουν την πραγματοποίηση των </w:t>
      </w:r>
      <w:r w:rsidRPr="009B36BC">
        <w:rPr>
          <w:rFonts w:asciiTheme="minorBidi" w:hAnsiTheme="minorBidi"/>
          <w:bCs/>
          <w:sz w:val="24"/>
          <w:szCs w:val="24"/>
          <w:lang w:val="el-GR"/>
        </w:rPr>
        <w:t>καθιερωμ</w:t>
      </w:r>
      <w:r>
        <w:rPr>
          <w:rFonts w:asciiTheme="minorBidi" w:hAnsiTheme="minorBidi"/>
          <w:bCs/>
          <w:sz w:val="24"/>
          <w:szCs w:val="24"/>
          <w:lang w:val="el-GR"/>
        </w:rPr>
        <w:t>ένων Επαρχιακών</w:t>
      </w:r>
      <w:r w:rsidRPr="009B36BC">
        <w:rPr>
          <w:rFonts w:asciiTheme="minorBidi" w:hAnsiTheme="minorBidi"/>
          <w:bCs/>
          <w:sz w:val="24"/>
          <w:szCs w:val="24"/>
          <w:lang w:val="el-GR"/>
        </w:rPr>
        <w:t xml:space="preserve"> Εσπερίδ</w:t>
      </w:r>
      <w:r>
        <w:rPr>
          <w:rFonts w:asciiTheme="minorBidi" w:hAnsiTheme="minorBidi"/>
          <w:bCs/>
          <w:sz w:val="24"/>
          <w:szCs w:val="24"/>
          <w:lang w:val="el-GR"/>
        </w:rPr>
        <w:t>ων</w:t>
      </w:r>
      <w:r w:rsidRPr="009B36BC">
        <w:rPr>
          <w:rFonts w:asciiTheme="minorBidi" w:hAnsiTheme="minorBidi"/>
          <w:bCs/>
          <w:sz w:val="24"/>
          <w:szCs w:val="24"/>
          <w:lang w:val="el-GR"/>
        </w:rPr>
        <w:t xml:space="preserve"> για το πιο πάνω θέμα</w:t>
      </w:r>
      <w:r>
        <w:rPr>
          <w:rFonts w:asciiTheme="minorBidi" w:hAnsiTheme="minorBidi"/>
          <w:bCs/>
          <w:sz w:val="24"/>
          <w:szCs w:val="24"/>
          <w:lang w:val="el-GR"/>
        </w:rPr>
        <w:t>. Επισυνάπτεται σχετική αφίσα.  Το Πρόγραμμα έχει ως ακολούθως:</w:t>
      </w:r>
    </w:p>
    <w:p w14:paraId="0F15390B" w14:textId="77777777" w:rsidR="00E92985" w:rsidRPr="009B36BC" w:rsidRDefault="00E92985" w:rsidP="00E92985">
      <w:pPr>
        <w:spacing w:line="276" w:lineRule="auto"/>
        <w:jc w:val="both"/>
        <w:rPr>
          <w:rFonts w:asciiTheme="minorBidi" w:hAnsiTheme="minorBidi"/>
          <w:bCs/>
          <w:sz w:val="24"/>
          <w:szCs w:val="24"/>
          <w:lang w:val="el-GR"/>
        </w:rPr>
      </w:pPr>
    </w:p>
    <w:tbl>
      <w:tblPr>
        <w:tblStyle w:val="TableGrid"/>
        <w:tblW w:w="9498" w:type="dxa"/>
        <w:tblInd w:w="-572" w:type="dxa"/>
        <w:tblLook w:val="04A0" w:firstRow="1" w:lastRow="0" w:firstColumn="1" w:lastColumn="0" w:noHBand="0" w:noVBand="1"/>
      </w:tblPr>
      <w:tblGrid>
        <w:gridCol w:w="708"/>
        <w:gridCol w:w="1592"/>
        <w:gridCol w:w="2520"/>
        <w:gridCol w:w="1134"/>
        <w:gridCol w:w="3544"/>
      </w:tblGrid>
      <w:tr w:rsidR="00E92985" w14:paraId="575E6587" w14:textId="77777777" w:rsidTr="004F5666">
        <w:tc>
          <w:tcPr>
            <w:tcW w:w="708" w:type="dxa"/>
          </w:tcPr>
          <w:p w14:paraId="3C3A0FAC" w14:textId="77777777" w:rsidR="00E92985" w:rsidRPr="00A324BA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/>
                <w:sz w:val="24"/>
                <w:szCs w:val="24"/>
                <w:lang w:val="el-GR"/>
              </w:rPr>
            </w:pPr>
            <w:r w:rsidRPr="00A324BA">
              <w:rPr>
                <w:rFonts w:asciiTheme="minorBidi" w:hAnsiTheme="minorBidi"/>
                <w:b/>
                <w:sz w:val="24"/>
                <w:szCs w:val="24"/>
                <w:lang w:val="el-GR"/>
              </w:rPr>
              <w:t>Α/Α</w:t>
            </w:r>
          </w:p>
        </w:tc>
        <w:tc>
          <w:tcPr>
            <w:tcW w:w="1592" w:type="dxa"/>
          </w:tcPr>
          <w:p w14:paraId="1A780790" w14:textId="77777777" w:rsidR="00E92985" w:rsidRPr="00A324BA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/>
                <w:sz w:val="24"/>
                <w:szCs w:val="24"/>
                <w:lang w:val="el-GR"/>
              </w:rPr>
            </w:pPr>
            <w:r w:rsidRPr="00A324BA">
              <w:rPr>
                <w:rFonts w:asciiTheme="minorBidi" w:hAnsiTheme="minorBidi"/>
                <w:b/>
                <w:sz w:val="24"/>
                <w:szCs w:val="24"/>
                <w:lang w:val="el-GR"/>
              </w:rPr>
              <w:t>Επαρχία</w:t>
            </w:r>
          </w:p>
        </w:tc>
        <w:tc>
          <w:tcPr>
            <w:tcW w:w="2520" w:type="dxa"/>
          </w:tcPr>
          <w:p w14:paraId="09C6DD22" w14:textId="77777777" w:rsidR="00E92985" w:rsidRPr="00A324BA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/>
                <w:sz w:val="24"/>
                <w:szCs w:val="24"/>
                <w:lang w:val="el-GR"/>
              </w:rPr>
            </w:pPr>
            <w:r w:rsidRPr="00A324BA">
              <w:rPr>
                <w:rFonts w:asciiTheme="minorBidi" w:hAnsiTheme="minorBidi"/>
                <w:b/>
                <w:sz w:val="24"/>
                <w:szCs w:val="24"/>
                <w:lang w:val="el-GR"/>
              </w:rPr>
              <w:t>Ημέρα-Ημερομηνία</w:t>
            </w:r>
          </w:p>
        </w:tc>
        <w:tc>
          <w:tcPr>
            <w:tcW w:w="1134" w:type="dxa"/>
          </w:tcPr>
          <w:p w14:paraId="2D1E0F36" w14:textId="77777777" w:rsidR="00E92985" w:rsidRPr="00A324BA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/>
                <w:sz w:val="24"/>
                <w:szCs w:val="24"/>
                <w:lang w:val="el-GR"/>
              </w:rPr>
            </w:pPr>
            <w:r w:rsidRPr="00A324BA">
              <w:rPr>
                <w:rFonts w:asciiTheme="minorBidi" w:hAnsiTheme="minorBidi"/>
                <w:b/>
                <w:sz w:val="24"/>
                <w:szCs w:val="24"/>
                <w:lang w:val="el-GR"/>
              </w:rPr>
              <w:t>Ωρα</w:t>
            </w:r>
          </w:p>
        </w:tc>
        <w:tc>
          <w:tcPr>
            <w:tcW w:w="3544" w:type="dxa"/>
          </w:tcPr>
          <w:p w14:paraId="753A4462" w14:textId="77777777" w:rsidR="00E92985" w:rsidRPr="00A324BA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/>
                <w:sz w:val="24"/>
                <w:szCs w:val="24"/>
                <w:lang w:val="el-GR"/>
              </w:rPr>
            </w:pPr>
            <w:r w:rsidRPr="00A324BA">
              <w:rPr>
                <w:rFonts w:asciiTheme="minorBidi" w:hAnsiTheme="minorBidi"/>
                <w:b/>
                <w:sz w:val="24"/>
                <w:szCs w:val="24"/>
                <w:lang w:val="el-GR"/>
              </w:rPr>
              <w:t>Χώρος</w:t>
            </w:r>
          </w:p>
        </w:tc>
      </w:tr>
      <w:tr w:rsidR="00E92985" w14:paraId="06D1F0BB" w14:textId="77777777" w:rsidTr="004F5666">
        <w:tc>
          <w:tcPr>
            <w:tcW w:w="708" w:type="dxa"/>
          </w:tcPr>
          <w:p w14:paraId="5B69C4AF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1.</w:t>
            </w:r>
          </w:p>
        </w:tc>
        <w:tc>
          <w:tcPr>
            <w:tcW w:w="1592" w:type="dxa"/>
          </w:tcPr>
          <w:p w14:paraId="03AB42D9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Λευκωσία</w:t>
            </w:r>
          </w:p>
        </w:tc>
        <w:tc>
          <w:tcPr>
            <w:tcW w:w="2520" w:type="dxa"/>
          </w:tcPr>
          <w:p w14:paraId="5C302711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Τετάρτη, 25/2/2026</w:t>
            </w:r>
          </w:p>
        </w:tc>
        <w:tc>
          <w:tcPr>
            <w:tcW w:w="1134" w:type="dxa"/>
          </w:tcPr>
          <w:p w14:paraId="3E57A5C5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18.30</w:t>
            </w:r>
          </w:p>
        </w:tc>
        <w:tc>
          <w:tcPr>
            <w:tcW w:w="3544" w:type="dxa"/>
          </w:tcPr>
          <w:p w14:paraId="437F544D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 xml:space="preserve">Λύκειο Κύκκου Α΄ </w:t>
            </w:r>
          </w:p>
        </w:tc>
      </w:tr>
      <w:tr w:rsidR="00E92985" w14:paraId="39C254B8" w14:textId="77777777" w:rsidTr="004F5666">
        <w:tc>
          <w:tcPr>
            <w:tcW w:w="708" w:type="dxa"/>
          </w:tcPr>
          <w:p w14:paraId="3F0CF8D8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2.</w:t>
            </w:r>
          </w:p>
        </w:tc>
        <w:tc>
          <w:tcPr>
            <w:tcW w:w="1592" w:type="dxa"/>
          </w:tcPr>
          <w:p w14:paraId="6FB3582C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Λεμεσός</w:t>
            </w:r>
          </w:p>
        </w:tc>
        <w:tc>
          <w:tcPr>
            <w:tcW w:w="2520" w:type="dxa"/>
          </w:tcPr>
          <w:p w14:paraId="4E4A8ACB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Τετάρτη, 25/2/2026</w:t>
            </w:r>
          </w:p>
          <w:p w14:paraId="1CBB5C80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Τετάρτη, 4/3/2026</w:t>
            </w:r>
          </w:p>
        </w:tc>
        <w:tc>
          <w:tcPr>
            <w:tcW w:w="1134" w:type="dxa"/>
          </w:tcPr>
          <w:p w14:paraId="5AD84A4E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18:30</w:t>
            </w:r>
          </w:p>
          <w:p w14:paraId="36A767D4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18:30</w:t>
            </w:r>
          </w:p>
        </w:tc>
        <w:tc>
          <w:tcPr>
            <w:tcW w:w="3544" w:type="dxa"/>
          </w:tcPr>
          <w:p w14:paraId="4F471385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Λύκειο Λινόπετρας</w:t>
            </w:r>
          </w:p>
          <w:p w14:paraId="74C4B78B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Λύκειο Πολεμιδιών</w:t>
            </w:r>
          </w:p>
        </w:tc>
      </w:tr>
      <w:tr w:rsidR="00E92985" w14:paraId="78A71B2E" w14:textId="77777777" w:rsidTr="004F5666">
        <w:tc>
          <w:tcPr>
            <w:tcW w:w="708" w:type="dxa"/>
          </w:tcPr>
          <w:p w14:paraId="6F38EF2F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3.</w:t>
            </w:r>
          </w:p>
        </w:tc>
        <w:tc>
          <w:tcPr>
            <w:tcW w:w="1592" w:type="dxa"/>
          </w:tcPr>
          <w:p w14:paraId="763CBDD4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Λάρνακα</w:t>
            </w:r>
          </w:p>
        </w:tc>
        <w:tc>
          <w:tcPr>
            <w:tcW w:w="2520" w:type="dxa"/>
          </w:tcPr>
          <w:p w14:paraId="134B739E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Τετάρτη, 4/3/2026</w:t>
            </w:r>
          </w:p>
        </w:tc>
        <w:tc>
          <w:tcPr>
            <w:tcW w:w="1134" w:type="dxa"/>
          </w:tcPr>
          <w:p w14:paraId="509F22C7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18:30</w:t>
            </w:r>
          </w:p>
        </w:tc>
        <w:tc>
          <w:tcPr>
            <w:tcW w:w="3544" w:type="dxa"/>
          </w:tcPr>
          <w:p w14:paraId="040616D8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Λύκειο Αγίου Γεωργίου</w:t>
            </w:r>
          </w:p>
        </w:tc>
      </w:tr>
      <w:tr w:rsidR="00E92985" w14:paraId="6FFACE0B" w14:textId="77777777" w:rsidTr="004F5666">
        <w:tc>
          <w:tcPr>
            <w:tcW w:w="708" w:type="dxa"/>
          </w:tcPr>
          <w:p w14:paraId="3DCAB530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4.</w:t>
            </w:r>
          </w:p>
        </w:tc>
        <w:tc>
          <w:tcPr>
            <w:tcW w:w="1592" w:type="dxa"/>
          </w:tcPr>
          <w:p w14:paraId="2495C77C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Αμμόχωστος</w:t>
            </w:r>
          </w:p>
        </w:tc>
        <w:tc>
          <w:tcPr>
            <w:tcW w:w="2520" w:type="dxa"/>
          </w:tcPr>
          <w:p w14:paraId="211299BE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Τετάρτη, 25/2/2026</w:t>
            </w:r>
          </w:p>
        </w:tc>
        <w:tc>
          <w:tcPr>
            <w:tcW w:w="1134" w:type="dxa"/>
          </w:tcPr>
          <w:p w14:paraId="61A0E29E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18:30</w:t>
            </w:r>
          </w:p>
        </w:tc>
        <w:tc>
          <w:tcPr>
            <w:tcW w:w="3544" w:type="dxa"/>
          </w:tcPr>
          <w:p w14:paraId="7422A402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Δημαρχείο Παραλιμνίου-Δερύνειας</w:t>
            </w:r>
          </w:p>
        </w:tc>
      </w:tr>
      <w:tr w:rsidR="00E92985" w14:paraId="1C5452D8" w14:textId="77777777" w:rsidTr="004F5666">
        <w:tc>
          <w:tcPr>
            <w:tcW w:w="708" w:type="dxa"/>
          </w:tcPr>
          <w:p w14:paraId="03BF7CCD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5.</w:t>
            </w:r>
          </w:p>
        </w:tc>
        <w:tc>
          <w:tcPr>
            <w:tcW w:w="1592" w:type="dxa"/>
          </w:tcPr>
          <w:p w14:paraId="6423813D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 xml:space="preserve">Πάφος </w:t>
            </w:r>
          </w:p>
        </w:tc>
        <w:tc>
          <w:tcPr>
            <w:tcW w:w="2520" w:type="dxa"/>
          </w:tcPr>
          <w:p w14:paraId="4121E6EA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Πέμπτη,19/2/2026</w:t>
            </w:r>
          </w:p>
        </w:tc>
        <w:tc>
          <w:tcPr>
            <w:tcW w:w="1134" w:type="dxa"/>
          </w:tcPr>
          <w:p w14:paraId="4CA46C1C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19.00</w:t>
            </w:r>
          </w:p>
        </w:tc>
        <w:tc>
          <w:tcPr>
            <w:tcW w:w="3544" w:type="dxa"/>
          </w:tcPr>
          <w:p w14:paraId="5AD4447D" w14:textId="77777777" w:rsidR="00E92985" w:rsidRDefault="00E92985" w:rsidP="004F5666">
            <w:pPr>
              <w:spacing w:line="276" w:lineRule="auto"/>
              <w:jc w:val="both"/>
              <w:rPr>
                <w:rFonts w:asciiTheme="minorBidi" w:hAnsiTheme="minorBidi"/>
                <w:bCs/>
                <w:sz w:val="24"/>
                <w:szCs w:val="24"/>
                <w:lang w:val="el-GR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l-GR"/>
              </w:rPr>
              <w:t>Πολυχώρος- Παλιά Ηλεκτρική</w:t>
            </w:r>
          </w:p>
        </w:tc>
      </w:tr>
    </w:tbl>
    <w:p w14:paraId="69FADD5E" w14:textId="77777777" w:rsidR="00E92985" w:rsidRDefault="00E92985" w:rsidP="00E92985">
      <w:pPr>
        <w:spacing w:line="276" w:lineRule="auto"/>
        <w:ind w:left="142"/>
        <w:jc w:val="both"/>
        <w:rPr>
          <w:rFonts w:asciiTheme="minorBidi" w:hAnsiTheme="minorBidi"/>
          <w:bCs/>
          <w:sz w:val="24"/>
          <w:szCs w:val="24"/>
          <w:lang w:val="el-GR"/>
        </w:rPr>
      </w:pPr>
    </w:p>
    <w:p w14:paraId="3AD37642" w14:textId="77777777" w:rsidR="00E92985" w:rsidRPr="00755035" w:rsidRDefault="00E92985" w:rsidP="00E92985">
      <w:pPr>
        <w:spacing w:line="276" w:lineRule="auto"/>
        <w:ind w:left="142"/>
        <w:jc w:val="both"/>
        <w:rPr>
          <w:rFonts w:asciiTheme="minorBidi" w:hAnsiTheme="minorBidi"/>
          <w:bCs/>
          <w:sz w:val="24"/>
          <w:szCs w:val="24"/>
          <w:u w:val="single"/>
          <w:lang w:val="el-GR"/>
        </w:rPr>
      </w:pPr>
      <w:r w:rsidRPr="00755035">
        <w:rPr>
          <w:rFonts w:asciiTheme="minorBidi" w:hAnsiTheme="minorBidi"/>
          <w:bCs/>
          <w:sz w:val="24"/>
          <w:szCs w:val="24"/>
          <w:u w:val="single"/>
          <w:lang w:val="el-GR"/>
        </w:rPr>
        <w:t>Αποσαφηνίζεται ότι:</w:t>
      </w:r>
    </w:p>
    <w:p w14:paraId="5D6C966B" w14:textId="2DD65663" w:rsidR="00E92985" w:rsidRDefault="00E92985" w:rsidP="00E92985">
      <w:pPr>
        <w:spacing w:line="276" w:lineRule="auto"/>
        <w:ind w:left="142"/>
        <w:jc w:val="both"/>
        <w:rPr>
          <w:rFonts w:asciiTheme="minorBidi" w:hAnsiTheme="minorBidi"/>
          <w:bCs/>
          <w:sz w:val="24"/>
          <w:szCs w:val="24"/>
          <w:lang w:val="el-GR"/>
        </w:rPr>
      </w:pPr>
      <w:r w:rsidRPr="00755035">
        <w:rPr>
          <w:rFonts w:asciiTheme="minorBidi" w:hAnsiTheme="minorBidi"/>
          <w:b/>
          <w:sz w:val="24"/>
          <w:szCs w:val="24"/>
          <w:lang w:val="el-GR"/>
        </w:rPr>
        <w:t>(α)</w:t>
      </w:r>
      <w:r>
        <w:rPr>
          <w:rFonts w:asciiTheme="minorBidi" w:hAnsiTheme="minorBidi"/>
          <w:bCs/>
          <w:sz w:val="24"/>
          <w:szCs w:val="24"/>
          <w:lang w:val="el-GR"/>
        </w:rPr>
        <w:t xml:space="preserve">  στη Λεμεσό πραγματοποιούνται δύο Εσπερίδες σε πιλοτική βάση. Με άξονα τα πιο πάνω, κρίθηκε σκόπιμο η δημιουργία επιπρόσθετης αφίσας που αναλύει τις θεματικές των δύο αυτών Εσπερίδων.  Η Γεωργία Αντωνιάδου, Β.Δ. Σ.Ε.Α. θα προβεί στη διάχυσ</w:t>
      </w:r>
      <w:r>
        <w:rPr>
          <w:rFonts w:asciiTheme="minorBidi" w:hAnsiTheme="minorBidi"/>
          <w:bCs/>
          <w:sz w:val="24"/>
          <w:szCs w:val="24"/>
          <w:lang w:val="el-GR"/>
        </w:rPr>
        <w:t>ή της</w:t>
      </w:r>
      <w:r>
        <w:rPr>
          <w:rFonts w:asciiTheme="minorBidi" w:hAnsiTheme="minorBidi"/>
          <w:bCs/>
          <w:sz w:val="24"/>
          <w:szCs w:val="24"/>
          <w:lang w:val="el-GR"/>
        </w:rPr>
        <w:t xml:space="preserve"> στα μέσα Κοινωνικής Δικτύωσης. </w:t>
      </w:r>
    </w:p>
    <w:p w14:paraId="29D37BE9" w14:textId="74F1F326" w:rsidR="00E92985" w:rsidRPr="00A16537" w:rsidRDefault="00E92985" w:rsidP="00E92985">
      <w:pPr>
        <w:spacing w:line="276" w:lineRule="auto"/>
        <w:ind w:left="142"/>
        <w:jc w:val="both"/>
        <w:rPr>
          <w:rFonts w:asciiTheme="minorBidi" w:hAnsiTheme="minorBidi"/>
          <w:bCs/>
          <w:color w:val="FF0000"/>
          <w:sz w:val="24"/>
          <w:szCs w:val="24"/>
          <w:lang w:val="el-GR"/>
        </w:rPr>
      </w:pPr>
      <w:r w:rsidRPr="00755035">
        <w:rPr>
          <w:rFonts w:asciiTheme="minorBidi" w:hAnsiTheme="minorBidi"/>
          <w:b/>
          <w:sz w:val="24"/>
          <w:szCs w:val="24"/>
          <w:lang w:val="el-GR"/>
        </w:rPr>
        <w:t>(β)</w:t>
      </w:r>
      <w:r>
        <w:rPr>
          <w:rFonts w:asciiTheme="minorBidi" w:hAnsiTheme="minorBidi"/>
          <w:bCs/>
          <w:sz w:val="24"/>
          <w:szCs w:val="24"/>
          <w:lang w:val="el-GR"/>
        </w:rPr>
        <w:t xml:space="preserve"> όλες οι Εσπερίδες είναι ανοικτές για </w:t>
      </w:r>
      <w:r>
        <w:rPr>
          <w:rFonts w:asciiTheme="minorBidi" w:hAnsiTheme="minorBidi"/>
          <w:bCs/>
          <w:sz w:val="24"/>
          <w:szCs w:val="24"/>
          <w:lang w:val="el-GR"/>
        </w:rPr>
        <w:t>τους μαθητές/τριες, τους γονείς και το ευρύτερο</w:t>
      </w:r>
      <w:r>
        <w:rPr>
          <w:rFonts w:asciiTheme="minorBidi" w:hAnsiTheme="minorBidi"/>
          <w:bCs/>
          <w:sz w:val="24"/>
          <w:szCs w:val="24"/>
          <w:lang w:val="el-GR"/>
        </w:rPr>
        <w:t xml:space="preserve"> κοινό όλων των επαρχιών</w:t>
      </w:r>
      <w:r>
        <w:rPr>
          <w:rFonts w:asciiTheme="minorBidi" w:hAnsiTheme="minorBidi"/>
          <w:bCs/>
          <w:sz w:val="24"/>
          <w:szCs w:val="24"/>
          <w:lang w:val="el-GR"/>
        </w:rPr>
        <w:t>.</w:t>
      </w:r>
      <w:r>
        <w:rPr>
          <w:rFonts w:asciiTheme="minorBidi" w:hAnsiTheme="minorBidi"/>
          <w:bCs/>
          <w:sz w:val="24"/>
          <w:szCs w:val="24"/>
          <w:lang w:val="el-GR"/>
        </w:rPr>
        <w:t xml:space="preserve"> </w:t>
      </w:r>
    </w:p>
    <w:p w14:paraId="7447CB20" w14:textId="77777777" w:rsidR="00E92985" w:rsidRDefault="00E92985" w:rsidP="00E92985">
      <w:pPr>
        <w:spacing w:line="276" w:lineRule="auto"/>
        <w:jc w:val="both"/>
        <w:rPr>
          <w:rFonts w:asciiTheme="minorBidi" w:hAnsiTheme="minorBidi"/>
          <w:bCs/>
          <w:sz w:val="24"/>
          <w:szCs w:val="24"/>
          <w:lang w:val="el-GR"/>
        </w:rPr>
      </w:pPr>
    </w:p>
    <w:p w14:paraId="01A454C5" w14:textId="72A21111" w:rsidR="00BF7DB2" w:rsidRPr="00BF7DB2" w:rsidRDefault="00BF7DB2" w:rsidP="00BF7DB2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  <w:r w:rsidRPr="00BF7DB2">
        <w:rPr>
          <w:rFonts w:ascii="Arial" w:hAnsi="Arial" w:cs="Arial"/>
          <w:bCs/>
          <w:i/>
          <w:iCs/>
          <w:sz w:val="24"/>
          <w:szCs w:val="24"/>
          <w:lang w:val="el-GR"/>
        </w:rPr>
        <w:t xml:space="preserve">Από την Επιθεώρηση Συμβουλευτικής και Επαγγελματικής Αγωγής, </w:t>
      </w:r>
    </w:p>
    <w:p w14:paraId="14E51D66" w14:textId="0109F591" w:rsidR="00E34BA0" w:rsidRDefault="00BF7DB2" w:rsidP="0013711F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  <w:r w:rsidRPr="00BF7DB2">
        <w:rPr>
          <w:rFonts w:ascii="Arial" w:hAnsi="Arial" w:cs="Arial"/>
          <w:bCs/>
          <w:i/>
          <w:iCs/>
          <w:sz w:val="24"/>
          <w:szCs w:val="24"/>
          <w:lang w:val="el-GR"/>
        </w:rPr>
        <w:t>Υπηρεσία Συμβουλευτικής και Επαγγελματικής Αγωγής, ΔΜΓΕ –ΥΠΑ</w:t>
      </w:r>
      <w:r w:rsidR="0013711F">
        <w:rPr>
          <w:rFonts w:ascii="Arial" w:hAnsi="Arial" w:cs="Arial"/>
          <w:bCs/>
          <w:i/>
          <w:iCs/>
          <w:sz w:val="24"/>
          <w:szCs w:val="24"/>
          <w:lang w:val="el-GR"/>
        </w:rPr>
        <w:t>Ν</w:t>
      </w:r>
    </w:p>
    <w:p w14:paraId="761E596B" w14:textId="77777777" w:rsidR="00E92985" w:rsidRPr="0013711F" w:rsidRDefault="00E92985" w:rsidP="0013711F">
      <w:pPr>
        <w:ind w:left="360"/>
        <w:rPr>
          <w:rFonts w:ascii="Arial" w:hAnsi="Arial" w:cs="Arial"/>
          <w:bCs/>
          <w:i/>
          <w:iCs/>
          <w:sz w:val="24"/>
          <w:szCs w:val="24"/>
          <w:lang w:val="el-GR"/>
        </w:rPr>
      </w:pPr>
    </w:p>
    <w:p w14:paraId="2A7775CC" w14:textId="519E7516" w:rsidR="00B75E63" w:rsidRPr="009F485D" w:rsidRDefault="00E92985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10</w:t>
      </w:r>
      <w:r w:rsidR="00B75E63" w:rsidRPr="009F485D">
        <w:rPr>
          <w:rFonts w:ascii="Arial" w:hAnsi="Arial" w:cs="Arial"/>
          <w:sz w:val="24"/>
          <w:szCs w:val="24"/>
          <w:lang w:val="el-GR"/>
        </w:rPr>
        <w:t>/</w:t>
      </w:r>
      <w:r w:rsidR="00E136A4">
        <w:rPr>
          <w:rFonts w:ascii="Arial" w:hAnsi="Arial" w:cs="Arial"/>
          <w:sz w:val="24"/>
          <w:szCs w:val="24"/>
          <w:lang w:val="en-GB"/>
        </w:rPr>
        <w:t>2</w:t>
      </w:r>
      <w:r w:rsidR="00B75E63" w:rsidRPr="009F485D">
        <w:rPr>
          <w:rFonts w:ascii="Arial" w:hAnsi="Arial" w:cs="Arial"/>
          <w:sz w:val="24"/>
          <w:szCs w:val="24"/>
          <w:lang w:val="el-GR"/>
        </w:rPr>
        <w:t>/202</w:t>
      </w:r>
      <w:r>
        <w:rPr>
          <w:rFonts w:ascii="Arial" w:hAnsi="Arial" w:cs="Arial"/>
          <w:sz w:val="24"/>
          <w:szCs w:val="24"/>
          <w:lang w:val="el-GR"/>
        </w:rPr>
        <w:t>6</w:t>
      </w:r>
    </w:p>
    <w:sectPr w:rsidR="00B75E63" w:rsidRPr="009F48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476"/>
    <w:multiLevelType w:val="multilevel"/>
    <w:tmpl w:val="DBEC8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2F54B50"/>
    <w:multiLevelType w:val="multilevel"/>
    <w:tmpl w:val="59B26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D7A4DD1"/>
    <w:multiLevelType w:val="hybridMultilevel"/>
    <w:tmpl w:val="DEE21232"/>
    <w:lvl w:ilvl="0" w:tplc="D5F6DC3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291590">
    <w:abstractNumId w:val="1"/>
  </w:num>
  <w:num w:numId="2" w16cid:durableId="158423454">
    <w:abstractNumId w:val="0"/>
  </w:num>
  <w:num w:numId="3" w16cid:durableId="83377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B2"/>
    <w:rsid w:val="000C3FBE"/>
    <w:rsid w:val="0013711F"/>
    <w:rsid w:val="003855D9"/>
    <w:rsid w:val="004E30AC"/>
    <w:rsid w:val="00720C04"/>
    <w:rsid w:val="008438B2"/>
    <w:rsid w:val="00850816"/>
    <w:rsid w:val="008845D1"/>
    <w:rsid w:val="00940D98"/>
    <w:rsid w:val="009F485D"/>
    <w:rsid w:val="00B75E63"/>
    <w:rsid w:val="00BF7DB2"/>
    <w:rsid w:val="00C363F5"/>
    <w:rsid w:val="00E136A4"/>
    <w:rsid w:val="00E34BA0"/>
    <w:rsid w:val="00E92985"/>
    <w:rsid w:val="00F9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F16A"/>
  <w15:chartTrackingRefBased/>
  <w15:docId w15:val="{AC7CEC85-8976-4ABA-BEBA-B9B31AE9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DB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5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papastefanou</dc:creator>
  <cp:keywords/>
  <dc:description/>
  <cp:lastModifiedBy>Eleni papastefanou</cp:lastModifiedBy>
  <cp:revision>2</cp:revision>
  <dcterms:created xsi:type="dcterms:W3CDTF">2026-02-10T08:33:00Z</dcterms:created>
  <dcterms:modified xsi:type="dcterms:W3CDTF">2026-02-10T08:33:00Z</dcterms:modified>
</cp:coreProperties>
</file>